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77.png" ContentType="image/png"/>
  <Override PartName="/word/media/rId168.png" ContentType="image/png"/>
  <Override PartName="/word/media/rId171.png" ContentType="image/png"/>
  <Override PartName="/word/media/rId174.png" ContentType="image/png"/>
  <Override PartName="/word/media/rId180.png" ContentType="image/png"/>
  <Override PartName="/word/media/rId183.png" ContentType="image/png"/>
  <Override PartName="/word/media/rId165.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examined</w:t>
      </w:r>
      <w:r>
        <w:t xml:space="preserve"> </w:t>
      </w:r>
      <w:r>
        <w:t xml:space="preserve">immigrant-containing</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couples</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especially</w:t>
      </w:r>
      <w:r>
        <w:t xml:space="preserve"> </w:t>
      </w:r>
      <w:r>
        <w:t xml:space="preserve">regarding</w:t>
      </w:r>
      <w:r>
        <w:t xml:space="preserve"> </w:t>
      </w:r>
      <w:r>
        <w:t xml:space="preserve">their</w:t>
      </w:r>
      <w:r>
        <w:t xml:space="preserve"> </w:t>
      </w:r>
      <w:r>
        <w:t xml:space="preserve">relationship</w:t>
      </w:r>
      <w:r>
        <w:t xml:space="preserve"> </w:t>
      </w:r>
      <w:r>
        <w:t xml:space="preserve">to</w:t>
      </w:r>
      <w:r>
        <w:t xml:space="preserve"> </w:t>
      </w:r>
      <w:r>
        <w:t xml:space="preserve">LGB</w:t>
      </w:r>
      <w:r>
        <w:t xml:space="preserve"> </w:t>
      </w:r>
      <w:r>
        <w:t xml:space="preserve">policy.</w:t>
      </w:r>
      <w:r>
        <w:t xml:space="preserve"> </w:t>
      </w:r>
      <w:r>
        <w:t xml:space="preserve">Are</w:t>
      </w:r>
      <w:r>
        <w:t xml:space="preserve"> </w:t>
      </w:r>
      <w:r>
        <w:t xml:space="preserve">these</w:t>
      </w:r>
      <w:r>
        <w:t xml:space="preserve"> </w:t>
      </w:r>
      <w:r>
        <w:t xml:space="preserve">immigrants</w:t>
      </w:r>
      <w:r>
        <w:t xml:space="preserve"> </w:t>
      </w:r>
      <w:r>
        <w:t xml:space="preserve">disadvantaged</w:t>
      </w:r>
      <w:r>
        <w:t xml:space="preserve"> </w:t>
      </w:r>
      <w:r>
        <w:t xml:space="preserve">and</w:t>
      </w:r>
      <w:r>
        <w:t xml:space="preserve"> </w:t>
      </w:r>
      <w:r>
        <w:t xml:space="preserve">fleeing</w:t>
      </w:r>
      <w:r>
        <w:t xml:space="preserve"> </w:t>
      </w:r>
      <w:r>
        <w:t xml:space="preserve">anti-LGB</w:t>
      </w:r>
      <w:r>
        <w:t xml:space="preserve"> </w:t>
      </w:r>
      <w:r>
        <w:t xml:space="preserve">contexts,</w:t>
      </w:r>
      <w:r>
        <w:t xml:space="preserve"> </w:t>
      </w:r>
      <w:r>
        <w:t xml:space="preserve">or</w:t>
      </w:r>
      <w:r>
        <w:t xml:space="preserve"> </w:t>
      </w:r>
      <w:r>
        <w:t xml:space="preserve">empowered</w:t>
      </w:r>
      <w:r>
        <w:t xml:space="preserve"> </w:t>
      </w:r>
      <w:r>
        <w:t xml:space="preserve">to</w:t>
      </w:r>
      <w:r>
        <w:t xml:space="preserve"> </w:t>
      </w:r>
      <w:r>
        <w:t xml:space="preserve">migrate</w:t>
      </w:r>
      <w:r>
        <w:t xml:space="preserve"> </w:t>
      </w:r>
      <w:r>
        <w:t xml:space="preserve">by</w:t>
      </w:r>
      <w:r>
        <w:t xml:space="preserve"> </w:t>
      </w:r>
      <w:r>
        <w:t xml:space="preserve">progressive</w:t>
      </w:r>
      <w:r>
        <w:t xml:space="preserve"> </w:t>
      </w:r>
      <w:r>
        <w:t xml:space="preserve">origin-country</w:t>
      </w:r>
      <w:r>
        <w:t xml:space="preserve"> </w:t>
      </w:r>
      <w:r>
        <w:t xml:space="preserve">LGB</w:t>
      </w:r>
      <w:r>
        <w:t xml:space="preserve"> </w:t>
      </w:r>
      <w:r>
        <w:t xml:space="preserve">policy?</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this</w:t>
      </w:r>
      <w:r>
        <w:t xml:space="preserve"> </w:t>
      </w:r>
      <w:r>
        <w:t xml:space="preserve">study</w:t>
      </w:r>
      <w:r>
        <w:t xml:space="preserve"> </w:t>
      </w:r>
      <w:r>
        <w:t xml:space="preserve">assesses</w:t>
      </w:r>
      <w:r>
        <w:t xml:space="preserve"> </w:t>
      </w:r>
      <w:r>
        <w:t xml:space="preserve">and</w:t>
      </w:r>
      <w:r>
        <w:t xml:space="preserve"> </w:t>
      </w:r>
      <w:r>
        <w:t xml:space="preserve">characterizes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those</w:t>
      </w:r>
      <w:r>
        <w:t xml:space="preserve"> </w:t>
      </w:r>
      <w:r>
        <w:t xml:space="preserve">in</w:t>
      </w:r>
      <w:r>
        <w:t xml:space="preserve"> </w:t>
      </w:r>
      <w:r>
        <w:t xml:space="preserve">different-sex</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among</w:t>
      </w:r>
      <w:r>
        <w:t xml:space="preserve"> </w:t>
      </w:r>
      <w:r>
        <w:t xml:space="preserve">immigrants</w:t>
      </w:r>
      <w:r>
        <w:t xml:space="preserve"> </w:t>
      </w:r>
      <w:r>
        <w:t xml:space="preserve">in</w:t>
      </w:r>
      <w:r>
        <w:t xml:space="preserve"> </w:t>
      </w:r>
      <w:r>
        <w:t xml:space="preserve">the</w:t>
      </w:r>
      <w:r>
        <w:t xml:space="preserve"> </w:t>
      </w:r>
      <w:r>
        <w:t xml:space="preserve">U.S.</w:t>
      </w:r>
      <w:r>
        <w:t xml:space="preserve"> </w:t>
      </w:r>
      <w:r>
        <w:t xml:space="preserve">They</w:t>
      </w:r>
      <w:r>
        <w:t xml:space="preserve"> </w:t>
      </w:r>
      <w:r>
        <w:t xml:space="preserve">also</w:t>
      </w:r>
      <w:r>
        <w:t xml:space="preserve"> </w:t>
      </w:r>
      <w:r>
        <w:t xml:space="preserve">tend</w:t>
      </w:r>
      <w:r>
        <w:t xml:space="preserve"> </w:t>
      </w:r>
      <w:r>
        <w:t xml:space="preserve">to</w:t>
      </w:r>
      <w:r>
        <w:t xml:space="preserve"> </w:t>
      </w:r>
      <w:r>
        <w:t xml:space="preserve">be</w:t>
      </w:r>
      <w:r>
        <w:t xml:space="preserve"> </w:t>
      </w:r>
      <w:r>
        <w:t xml:space="preserve">more</w:t>
      </w:r>
      <w:r>
        <w:t xml:space="preserve"> </w:t>
      </w:r>
      <w:r>
        <w:t xml:space="preserve">highly</w:t>
      </w:r>
      <w:r>
        <w:t xml:space="preserve"> </w:t>
      </w:r>
      <w:r>
        <w:t xml:space="preserve">educated,</w:t>
      </w:r>
      <w:r>
        <w:t xml:space="preserve"> </w:t>
      </w:r>
      <w:r>
        <w:t xml:space="preserve">work</w:t>
      </w:r>
      <w:r>
        <w:t xml:space="preserve"> </w:t>
      </w:r>
      <w:r>
        <w:t xml:space="preserve">in</w:t>
      </w:r>
      <w:r>
        <w:t xml:space="preserve"> </w:t>
      </w:r>
      <w:r>
        <w:t xml:space="preserve">more</w:t>
      </w:r>
      <w:r>
        <w:t xml:space="preserve"> </w:t>
      </w:r>
      <w:r>
        <w:t xml:space="preserve">prestigious</w:t>
      </w:r>
      <w:r>
        <w:t xml:space="preserve"> </w:t>
      </w:r>
      <w:r>
        <w:t xml:space="preserve">occupations,</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fixed-effect</w:t>
      </w:r>
      <w:r>
        <w:t xml:space="preserve"> </w:t>
      </w:r>
      <w:r>
        <w:t xml:space="preserve">models</w:t>
      </w:r>
      <w:r>
        <w:t xml:space="preserve"> </w:t>
      </w:r>
      <w:r>
        <w:t xml:space="preserve">show</w:t>
      </w:r>
      <w:r>
        <w:t xml:space="preserve"> </w:t>
      </w:r>
      <w:r>
        <w:t xml:space="preserve">that</w:t>
      </w:r>
      <w:r>
        <w:t xml:space="preserve"> </w:t>
      </w:r>
      <w:r>
        <w:t xml:space="preserve">higher</w:t>
      </w:r>
      <w:r>
        <w:t xml:space="preserve"> </w:t>
      </w:r>
      <w:r>
        <w:t xml:space="preserve">proportions</w:t>
      </w:r>
      <w:r>
        <w:t xml:space="preserve"> </w:t>
      </w:r>
      <w:r>
        <w:t xml:space="preserve">of</w:t>
      </w:r>
      <w:r>
        <w:t xml:space="preserve"> </w:t>
      </w:r>
      <w:r>
        <w:t xml:space="preserve">these</w:t>
      </w:r>
      <w:r>
        <w:t xml:space="preserve"> </w:t>
      </w:r>
      <w:r>
        <w:t xml:space="preserve">immigrants</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and</w:t>
      </w:r>
      <w:r>
        <w:t xml:space="preserve"> </w:t>
      </w:r>
      <w:r>
        <w:t xml:space="preserve">they</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then,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within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fleeing repressive contexts and seeking entry into the U.S. and other countries in the Global North</w:t>
      </w:r>
      <w:r>
        <w:t xml:space="preserve"> </w:t>
      </w:r>
      <w:r>
        <w:t xml:space="preserve">(Akin, 2017; Dhoest, 2019; Giametta, 2020a; Karimi, 2020; Murray, 2014; Saleh, 2020; Sam &amp; Finley, 2015)</w:t>
      </w:r>
      <w:r>
        <w:t xml:space="preserve">.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immigrants in same-sex couples operate similarly to those in different-sex couples, then we should see similarly processes at play. Yet, it is clear that LGB-specific policy may introduce a distinct element that can either disrupt or, potentially, attenuate these patterns.</w:t>
      </w:r>
    </w:p>
    <w:p>
      <w:pPr>
        <w:pStyle w:val="BodyText"/>
      </w:pPr>
      <w:r>
        <w:t xml:space="preserve">With these theories in mind, are LGB immigrants in same-sex couples coming from generally repressive or progressive contexts? Though representative research on this population is lacking, existing evidence from qualitative studies document cases supporting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Indeed, numerous studies characterize migrants in same-sex relationships as largely escaping repressive contexts</w:t>
      </w:r>
      <w:r>
        <w:t xml:space="preserve"> </w:t>
      </w:r>
      <w:r>
        <w:t xml:space="preserve">(Akin, 2017; Dhoest, 2019; Giametta, 2020a; Murray, 2014; Saleh, 2020; Sam &amp; Finley, 2015)</w:t>
      </w:r>
      <w:r>
        <w:t xml:space="preserve">. One reason for this prominent characterization of LGB migrants within the U.S. is due to the heavy emphasis on asylum seekers and the asylum process itself – especially since the U.N. guidance note in 2008 and then-President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Additional research documents how people in comparatively oppressive contexts seek out partners in more equitable locations, like the U.S., who can then sponsor them through the immigration process</w:t>
      </w:r>
      <w:r>
        <w:t xml:space="preserve"> </w:t>
      </w:r>
      <w:r>
        <w:t xml:space="preserve">(Carrillo, 2018; Corey-Boulet, 2019; Kong, 2010)</w:t>
      </w:r>
      <w:r>
        <w:t xml:space="preserve">. This pathway fits within the neoclassical economic theory as LGB individuals seeking asylum into the U.S. or wanting to leave such conditions, generally,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the pathway of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And, third, these factors may combine to make those coming from countries with progressive policies more legible to migration officials determining access to visas as the enactment of the sexuality and relationship may align more closely to dominant expressions within the U.S.</w:t>
      </w:r>
      <w:r>
        <w:t xml:space="preserve"> </w:t>
      </w:r>
      <w:r>
        <w:t xml:space="preserve">(Edwards, 2013)</w:t>
      </w:r>
      <w:r>
        <w:t xml:space="preserve">.</w:t>
      </w:r>
    </w:p>
    <w:p>
      <w:pPr>
        <w:pStyle w:val="BodyText"/>
      </w:pPr>
      <w:r>
        <w:t xml:space="preserve">Migration from progressive policy contexts can also support traditional migration theories as well. The cost-benefit analysis inherent in neoclassical economic theory could imply that migrants coming from progressive contexts enjoy greater resources and hence face relatively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7,089 immigrants in same-sex couples with complete data. These immigrants are compared to 641,521 corresponding different-sex couples containing 902,692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We recognize that we are not able to identify bisexual (or pansexual, multisexual, etc.) individuals with different-sex partners. In addition,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594 immigrants in same-sex couples and 47,083 in different-sex couples, or 5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the Online Appendix we also include robustness checks to test the sensitivity of our results to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36,387 country-state-year observations.</w:t>
      </w:r>
      <w:r>
        <w:rPr>
          <w:rStyle w:val="FootnoteReference"/>
        </w:rPr>
        <w:footnoteReference w:id="25"/>
      </w:r>
      <w:r>
        <w:t xml:space="preserve"> </w:t>
      </w:r>
      <w:r>
        <w:t xml:space="preserve">This reshaping acts to control for aspects of migrant settlement common to immigrants from the same country. To reduce variance, we drop countries with fewer than 150 and U.S. states with fewer than 500 cohabiting immigrants in the U.S.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(country of origin minus U.S.),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3" w:name="results"/>
    <w:p>
      <w:pPr>
        <w:pStyle w:val="Heading1"/>
      </w:pPr>
      <w:r>
        <w:t xml:space="preserve">Results</w:t>
      </w:r>
    </w:p>
    <w:bookmarkStart w:id="31"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compared to the countries of origin for immigrants in different-sex,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show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Missouri, and Florida still make the list with less affirming policy environments.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1"/>
    <w:bookmarkStart w:id="32"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0.92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w:t>
      </w:r>
      <w:r>
        <w:t xml:space="preserve"> </w:t>
      </w:r>
      <w:r>
        <w:t xml:space="preserve">7</w:t>
      </w:r>
      <w:r>
        <w:t xml:space="preserve"> </w:t>
      </w:r>
      <w:r>
        <w:t xml:space="preserve">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from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 The coefficient for state policy become less important in Model 7, whereas origin-country score retains its effect. This means that, after 2013, the proportion of immigrants in same-sex couples increased across states for those from more progressive countries. With increasingly progressive federal policy, state policy appears to matter less in the post-DOMA era, or to matter only in conjunction with origin-country policy.</w:t>
      </w:r>
    </w:p>
    <w:p>
      <w:pPr>
        <w:pStyle w:val="BodyText"/>
      </w:pPr>
      <w:r>
        <w:t xml:space="preserve">Our results hold up to a variety of robustness checks presented in Section C of the Online Appendix. These include hypothetically high levels of sex misreporting; weighting by the relative size of a country’s immigrant population in the U.S.; and restricting the sample to married, one-immigrant, or two-immigrant couples.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w:t>
      </w:r>
    </w:p>
    <w:bookmarkEnd w:id="32"/>
    <w:bookmarkEnd w:id="33"/>
    <w:bookmarkStart w:id="34"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w:t>
      </w:r>
    </w:p>
    <w:p>
      <w:pPr>
        <w:pStyle w:val="BodyText"/>
      </w:pPr>
      <w:r>
        <w:t xml:space="preserve">To address our research questions, we take advantage of an underutilized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several important contributions to the literature. First, existing scholarship on immigrants in same-sex couples, and queer migration more broadly, is largely qualitative in nature. Consequently, it is unclear which patterns these studies illuminate generalize across the full population of immigrants in cohabitating, same-sex couples within the U.S. Current queer migration scholarship largely focuses on asylum and refugee processes, for example</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 Vuckovic Juros, 2022)</w:t>
      </w:r>
      <w:r>
        <w:t xml:space="preserve">. Meanwhile, others contrast this by studying LGB individuals and couples of elite status, but similarly originating from repressive contexts and then moving toward progressive domains</w:t>
      </w:r>
      <w:r>
        <w:t xml:space="preserve"> </w:t>
      </w:r>
      <w:r>
        <w:t xml:space="preserve">(Choi, 2022; Kong, 2010)</w:t>
      </w:r>
      <w:r>
        <w:t xml:space="preserve">. Though such studies are not seeking generalizability, this emphasis within queer migration scholarship can leave an impression that migrating from repressive to relatively more progressive contexts (either real or imagined) is typical. As such, while these experiences certainly occur, such an emphasis potentially distorts our understanding of who these immigrants are, the types of environments they are coming from,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although many queer migrants are fleeing repression, the typical LGB, cohabiting migrant at the population-level within the U.S. is of privileged social standing. Knowing this descriptive point constitutes a substantial amendment to the queer migration literature.</w:t>
      </w:r>
    </w:p>
    <w:p>
      <w:pPr>
        <w:pStyle w:val="BodyText"/>
      </w:pPr>
      <w:r>
        <w:t xml:space="preserve">Second, we build upon our understanding of who these migrants are by assessing how LGB policies at their country of origin influence patterns of migration. Despite existing scholarship portraying LGB couples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couples are coming from environments that are increasingly more open. This is true even after accounting for factors from long-standing migration models.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seek out partnerships, and/or successfully navigate the U.S. immigration to acquire a visa. Such an explanation fits within an aspirations-capabilities framework</w:t>
      </w:r>
      <w:r>
        <w:t xml:space="preserve"> </w:t>
      </w:r>
      <w:r>
        <w:t xml:space="preserve">(de Haas, 2021)</w:t>
      </w:r>
      <w:r>
        <w:t xml:space="preserve">: Migration is enabled when desires and resources align within an auspicious international opportunity structure.</w:t>
      </w:r>
      <w:r>
        <w:br/>
      </w:r>
    </w:p>
    <w:p>
      <w:pPr>
        <w:pStyle w:val="BodyText"/>
      </w:pPr>
      <w:r>
        <w:t xml:space="preserve">And, third, after immigrants within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Finally xx how to frame this within the context of previous migration research, especially</w:t>
      </w:r>
      <w:r>
        <w:t xml:space="preserve"> </w:t>
      </w:r>
      <w:r>
        <w:t xml:space="preserve">“</w:t>
      </w:r>
      <w:r>
        <w:t xml:space="preserve">pioneer</w:t>
      </w:r>
      <w:r>
        <w:t xml:space="preserve">”</w:t>
      </w:r>
      <w:r>
        <w:t xml:space="preserve"> </w:t>
      </w:r>
      <w:r>
        <w:t xml:space="preserve">migrants.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those affected by climate policy or the salience of the Black Lives Matter movement to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Results in the Online Appendix show stronger results for containing one U.S.-born and one immigrant member, compared to couples with two immigrants.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and relatedly, this is an analysis of cohabiting couples. This particular focus has a two-part justification: the DOMA decision itself carries significant relevance to couples and, therefore, the American Community Survey’s attention to cohabitating couples is appropriate. Nevertheless, this means our findings are unable to be generalized to non-cohabitating couples nor single migrants. Moreover, while we shed light on some differences between one-immigrants and two-immigrant couples in the Appendix, we do not fully assess the distinctions between these types of LGB couples as our primary emphasis is contrasting between same-sex and different-sex couples originating from the same country. Future incorporation of these different types of LGB immigrants and relationship formations, especially within nationally representative surveys, is thus urgently needed. The incorporation of such individuals may likely augment the findings presented here in a few particular ways. For example, as mentioned, supportive policy environments may both be the result of and further reinforce self-disclosure and same-sex coupledom. Consequently, data on single LGB migrants may include a more diverse set of origin policy environments while reinforcing the current socioeconomic demographics we present</w:t>
      </w:r>
      <w:r>
        <w:t xml:space="preserve"> </w:t>
      </w:r>
      <w:r>
        <w:t xml:space="preserve">(Choi, 2022)</w:t>
      </w:r>
      <w:r>
        <w:t xml:space="preserve">. If single LGB individuals are more likely to come from repressive contexts or may disproportionately access other visa pathways via employment or asylum, then the LGB sample identified by the ACS will systematically exclude migrants from less favorable policy environments. However, given that U.S. immigration prioritizes family unity, two-immigrant couples may disproportionately also come from countries where both immigrants previously achieved legal marriage recognition and, therefore, further reinforce these findings. Finally, although the cultural and geographic variation in responses shown in Table</w:t>
      </w:r>
      <w:r>
        <w:t xml:space="preserve"> </w:t>
      </w:r>
      <w:r>
        <w:t xml:space="preserve">1</w:t>
      </w:r>
      <w:r>
        <w:t xml:space="preserve"> </w:t>
      </w:r>
      <w:r>
        <w:t xml:space="preserve">suggests that responses are not a function of culture alone, future work must attend to whether response rates correlate with country-of-origin policies. As such, our results cannot generalize to U.S. immigrants who remain single or do not cohabit, whether LGB or straight.</w:t>
      </w:r>
    </w:p>
    <w:p>
      <w:pPr>
        <w:pStyle w:val="BodyText"/>
      </w:pPr>
      <w:r>
        <w:t xml:space="preserve">Fifth,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 Finally, our results are descriptive, not causal; more rigorous methods of causal inference are necessary to invoke causality.</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4"/>
    <w:bookmarkStart w:id="163" w:name="references"/>
    <w:p>
      <w:pPr>
        <w:pStyle w:val="Heading1"/>
      </w:pPr>
      <w:r>
        <w:t xml:space="preserve">References</w:t>
      </w:r>
    </w:p>
    <w:p>
      <w:pPr>
        <w:pStyle w:val="FirstParagraph"/>
      </w:pPr>
    </w:p>
    <w:bookmarkStart w:id="162" w:name="refs"/>
    <w:bookmarkStart w:id="35"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5"/>
    <w:bookmarkStart w:id="36"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6"/>
    <w:bookmarkStart w:id="38"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7">
        <w:r>
          <w:rPr>
            <w:rStyle w:val="Hyperlink"/>
          </w:rPr>
          <w:t xml:space="preserve">https://doi.org/10.1080/1369183X.2016.1243050</w:t>
        </w:r>
      </w:hyperlink>
    </w:p>
    <w:bookmarkEnd w:id="38"/>
    <w:bookmarkStart w:id="39"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39"/>
    <w:bookmarkStart w:id="41"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0">
        <w:r>
          <w:rPr>
            <w:rStyle w:val="Hyperlink"/>
          </w:rPr>
          <w:t xml:space="preserve">https://doi.org/10.1080/1369183X.2018.1497955</w:t>
        </w:r>
      </w:hyperlink>
    </w:p>
    <w:bookmarkEnd w:id="41"/>
    <w:bookmarkStart w:id="42"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2"/>
    <w:bookmarkStart w:id="44"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3">
        <w:r>
          <w:rPr>
            <w:rStyle w:val="Hyperlink"/>
          </w:rPr>
          <w:t xml:space="preserve">https://doi.org/10.1177/0192513X12464872</w:t>
        </w:r>
      </w:hyperlink>
    </w:p>
    <w:bookmarkEnd w:id="44"/>
    <w:bookmarkStart w:id="46"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5">
        <w:r>
          <w:rPr>
            <w:rStyle w:val="Hyperlink"/>
          </w:rPr>
          <w:t xml:space="preserve">https://doi.org/10.1007/978-94-007-5512-3</w:t>
        </w:r>
      </w:hyperlink>
    </w:p>
    <w:bookmarkEnd w:id="46"/>
    <w:bookmarkStart w:id="47"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7"/>
    <w:bookmarkStart w:id="49"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8">
        <w:r>
          <w:rPr>
            <w:rStyle w:val="Hyperlink"/>
          </w:rPr>
          <w:t xml:space="preserve">https://doi.org/10.1007/978-3-030-10910-3_11</w:t>
        </w:r>
      </w:hyperlink>
    </w:p>
    <w:bookmarkEnd w:id="49"/>
    <w:bookmarkStart w:id="50"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0"/>
    <w:bookmarkStart w:id="52"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1">
        <w:r>
          <w:rPr>
            <w:rStyle w:val="Hyperlink"/>
          </w:rPr>
          <w:t xml:space="preserve">https://doi.org/10.1080/00036846.2016.1251565</w:t>
        </w:r>
      </w:hyperlink>
    </w:p>
    <w:bookmarkEnd w:id="52"/>
    <w:bookmarkStart w:id="54"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3">
        <w:r>
          <w:rPr>
            <w:rStyle w:val="Hyperlink"/>
          </w:rPr>
          <w:t xml:space="preserve">https://doi.org/10.1111/j.1467-954X.2009.01864.x</w:t>
        </w:r>
      </w:hyperlink>
    </w:p>
    <w:bookmarkEnd w:id="54"/>
    <w:bookmarkStart w:id="55"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5"/>
    <w:bookmarkStart w:id="56"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6"/>
    <w:bookmarkStart w:id="57"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7"/>
    <w:bookmarkStart w:id="59"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8">
        <w:r>
          <w:rPr>
            <w:rStyle w:val="Hyperlink"/>
          </w:rPr>
          <w:t xml:space="preserve">https://doi.org/10.2307/2546424</w:t>
        </w:r>
      </w:hyperlink>
    </w:p>
    <w:bookmarkEnd w:id="59"/>
    <w:bookmarkStart w:id="61"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0">
        <w:r>
          <w:rPr>
            <w:rStyle w:val="Hyperlink"/>
          </w:rPr>
          <w:t xml:space="preserve">https://doi.org/10.1080/01621459.1988.10478575</w:t>
        </w:r>
      </w:hyperlink>
    </w:p>
    <w:bookmarkEnd w:id="61"/>
    <w:bookmarkStart w:id="62"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2"/>
    <w:bookmarkStart w:id="63"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3"/>
    <w:bookmarkStart w:id="64"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4"/>
    <w:bookmarkStart w:id="66"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5">
        <w:r>
          <w:rPr>
            <w:rStyle w:val="Hyperlink"/>
          </w:rPr>
          <w:t xml:space="preserve">https://doi.org/10.1177/00380385211073237</w:t>
        </w:r>
      </w:hyperlink>
    </w:p>
    <w:bookmarkEnd w:id="66"/>
    <w:bookmarkStart w:id="68"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7">
        <w:r>
          <w:rPr>
            <w:rStyle w:val="Hyperlink"/>
          </w:rPr>
          <w:t xml:space="preserve">https://doi.org/10.1111/kykl.12206</w:t>
        </w:r>
      </w:hyperlink>
    </w:p>
    <w:bookmarkEnd w:id="68"/>
    <w:bookmarkStart w:id="69"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69"/>
    <w:bookmarkStart w:id="70"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0"/>
    <w:bookmarkStart w:id="72"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1">
        <w:r>
          <w:rPr>
            <w:rStyle w:val="Hyperlink"/>
          </w:rPr>
          <w:t xml:space="preserve">https://doi.org/10.1186/s40878-020-00210-4</w:t>
        </w:r>
      </w:hyperlink>
    </w:p>
    <w:bookmarkEnd w:id="72"/>
    <w:bookmarkStart w:id="74"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3">
        <w:r>
          <w:rPr>
            <w:rStyle w:val="Hyperlink"/>
          </w:rPr>
          <w:t xml:space="preserve">https://doi.org/10.1080/1369183X.2017.1420466</w:t>
        </w:r>
      </w:hyperlink>
    </w:p>
    <w:bookmarkEnd w:id="74"/>
    <w:bookmarkStart w:id="76"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5">
        <w:r>
          <w:rPr>
            <w:rStyle w:val="Hyperlink"/>
          </w:rPr>
          <w:t xml:space="preserve">https://doi.org/10.1016/j.geoforum.2015.11.007</w:t>
        </w:r>
      </w:hyperlink>
    </w:p>
    <w:bookmarkEnd w:id="76"/>
    <w:bookmarkStart w:id="78"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7">
        <w:r>
          <w:rPr>
            <w:rStyle w:val="Hyperlink"/>
          </w:rPr>
          <w:t xml:space="preserve">https://doi.org/10.1177/0011392119850231</w:t>
        </w:r>
      </w:hyperlink>
    </w:p>
    <w:bookmarkEnd w:id="78"/>
    <w:bookmarkStart w:id="79"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79"/>
    <w:bookmarkStart w:id="81"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0">
        <w:r>
          <w:rPr>
            <w:rStyle w:val="Hyperlink"/>
          </w:rPr>
          <w:t xml:space="preserve">https://doi.org/10.1257/aer.20130954</w:t>
        </w:r>
      </w:hyperlink>
    </w:p>
    <w:bookmarkEnd w:id="81"/>
    <w:bookmarkStart w:id="83"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2">
        <w:r>
          <w:rPr>
            <w:rStyle w:val="Hyperlink"/>
          </w:rPr>
          <w:t xml:space="preserve">https://doi.org/10.1146/annurev-soc-121919-054639</w:t>
        </w:r>
      </w:hyperlink>
    </w:p>
    <w:bookmarkEnd w:id="83"/>
    <w:bookmarkStart w:id="85"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4">
        <w:r>
          <w:rPr>
            <w:rStyle w:val="Hyperlink"/>
          </w:rPr>
          <w:t xml:space="preserve">https://doi.org/10.1017/S0043887114000112</w:t>
        </w:r>
      </w:hyperlink>
    </w:p>
    <w:bookmarkEnd w:id="85"/>
    <w:bookmarkStart w:id="87"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86">
        <w:r>
          <w:rPr>
            <w:rStyle w:val="Hyperlink"/>
          </w:rPr>
          <w:t xml:space="preserve">https://doi.org/10.1177/1065912915621175</w:t>
        </w:r>
      </w:hyperlink>
    </w:p>
    <w:bookmarkEnd w:id="87"/>
    <w:bookmarkStart w:id="88"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88"/>
    <w:bookmarkStart w:id="89"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89"/>
    <w:bookmarkStart w:id="91"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0">
        <w:r>
          <w:rPr>
            <w:rStyle w:val="Hyperlink"/>
          </w:rPr>
          <w:t xml:space="preserve">https://doi.org/10.1080/1369183X.2018.1500172</w:t>
        </w:r>
      </w:hyperlink>
    </w:p>
    <w:bookmarkEnd w:id="91"/>
    <w:bookmarkStart w:id="92"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2"/>
    <w:bookmarkStart w:id="93"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3"/>
    <w:bookmarkStart w:id="94"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4"/>
    <w:bookmarkStart w:id="96"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5">
        <w:r>
          <w:rPr>
            <w:rStyle w:val="Hyperlink"/>
          </w:rPr>
          <w:t xml:space="preserve">https://doi.org/10.1080/14649360902853262</w:t>
        </w:r>
      </w:hyperlink>
    </w:p>
    <w:bookmarkEnd w:id="96"/>
    <w:bookmarkStart w:id="97"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97"/>
    <w:bookmarkStart w:id="99"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98">
        <w:r>
          <w:rPr>
            <w:rStyle w:val="Hyperlink"/>
          </w:rPr>
          <w:t xml:space="preserve">https://doi.org/10.7551/mitpress/3303.001.0001</w:t>
        </w:r>
      </w:hyperlink>
    </w:p>
    <w:bookmarkEnd w:id="99"/>
    <w:bookmarkStart w:id="100"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0"/>
    <w:bookmarkStart w:id="101"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1"/>
    <w:bookmarkStart w:id="102"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2"/>
    <w:bookmarkStart w:id="103"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3"/>
    <w:bookmarkStart w:id="104"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04"/>
    <w:bookmarkStart w:id="106"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05">
        <w:r>
          <w:rPr>
            <w:rStyle w:val="Hyperlink"/>
          </w:rPr>
          <w:t xml:space="preserve">https://doi.org/10.4324/9780203849200</w:t>
        </w:r>
      </w:hyperlink>
    </w:p>
    <w:bookmarkEnd w:id="106"/>
    <w:bookmarkStart w:id="107"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07"/>
    <w:bookmarkStart w:id="108"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08"/>
    <w:bookmarkStart w:id="110"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09">
        <w:r>
          <w:rPr>
            <w:rStyle w:val="Hyperlink"/>
          </w:rPr>
          <w:t xml:space="preserve">https://doi.org/10.1177/1363460714552251</w:t>
        </w:r>
      </w:hyperlink>
    </w:p>
    <w:bookmarkEnd w:id="110"/>
    <w:bookmarkStart w:id="112"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1">
        <w:r>
          <w:rPr>
            <w:rStyle w:val="Hyperlink"/>
          </w:rPr>
          <w:t xml:space="preserve">https://doi.org/10.1215/10642684-2007-029</w:t>
        </w:r>
      </w:hyperlink>
    </w:p>
    <w:bookmarkEnd w:id="112"/>
    <w:bookmarkStart w:id="113"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3"/>
    <w:bookmarkStart w:id="115"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14">
        <w:r>
          <w:rPr>
            <w:rStyle w:val="Hyperlink"/>
          </w:rPr>
          <w:t xml:space="preserve">https://doi.org/10.1080/17450100903195318</w:t>
        </w:r>
      </w:hyperlink>
    </w:p>
    <w:bookmarkEnd w:id="115"/>
    <w:bookmarkStart w:id="116"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16"/>
    <w:bookmarkStart w:id="118"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17">
        <w:r>
          <w:rPr>
            <w:rStyle w:val="Hyperlink"/>
          </w:rPr>
          <w:t xml:space="preserve">https://doi.org/10.1007/s12122-020-09305-4</w:t>
        </w:r>
      </w:hyperlink>
    </w:p>
    <w:bookmarkEnd w:id="118"/>
    <w:bookmarkStart w:id="120"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19">
        <w:r>
          <w:rPr>
            <w:rStyle w:val="Hyperlink"/>
          </w:rPr>
          <w:t xml:space="preserve">https://doi.org/10.2307/3644186</w:t>
        </w:r>
      </w:hyperlink>
    </w:p>
    <w:bookmarkEnd w:id="120"/>
    <w:bookmarkStart w:id="121"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1"/>
    <w:bookmarkStart w:id="123"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2">
        <w:r>
          <w:rPr>
            <w:rStyle w:val="Hyperlink"/>
          </w:rPr>
          <w:t xml:space="preserve">https://doi.org/10.2139/ssrn.1994531</w:t>
        </w:r>
      </w:hyperlink>
    </w:p>
    <w:bookmarkEnd w:id="123"/>
    <w:bookmarkStart w:id="124"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24"/>
    <w:bookmarkStart w:id="125"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25"/>
    <w:bookmarkStart w:id="126"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26"/>
    <w:bookmarkStart w:id="127"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27"/>
    <w:bookmarkStart w:id="128"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28"/>
    <w:bookmarkStart w:id="130"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29">
        <w:r>
          <w:rPr>
            <w:rStyle w:val="Hyperlink"/>
          </w:rPr>
          <w:t xml:space="preserve">https://doi.org/10.1080/13691058.2016.1184314</w:t>
        </w:r>
      </w:hyperlink>
    </w:p>
    <w:bookmarkEnd w:id="130"/>
    <w:bookmarkStart w:id="132"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1">
        <w:r>
          <w:rPr>
            <w:rStyle w:val="Hyperlink"/>
          </w:rPr>
          <w:t xml:space="preserve">https://doi.org/10.31235/osf.io/mzuwe</w:t>
        </w:r>
      </w:hyperlink>
    </w:p>
    <w:bookmarkEnd w:id="132"/>
    <w:bookmarkStart w:id="134"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3">
        <w:r>
          <w:rPr>
            <w:rStyle w:val="Hyperlink"/>
          </w:rPr>
          <w:t xml:space="preserve">https://doi.org/10.1093/migration/mnab007</w:t>
        </w:r>
      </w:hyperlink>
    </w:p>
    <w:bookmarkEnd w:id="134"/>
    <w:bookmarkStart w:id="135"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35"/>
    <w:bookmarkStart w:id="137"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36">
        <w:r>
          <w:rPr>
            <w:rStyle w:val="Hyperlink"/>
          </w:rPr>
          <w:t xml:space="preserve">https://doi.org/10.1080/19436149.2020.1704501</w:t>
        </w:r>
      </w:hyperlink>
    </w:p>
    <w:bookmarkEnd w:id="137"/>
    <w:bookmarkStart w:id="139"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38">
        <w:r>
          <w:rPr>
            <w:rStyle w:val="Hyperlink"/>
          </w:rPr>
          <w:t xml:space="preserve">https://doi.org/10.1080/09518398.2015.1017858</w:t>
        </w:r>
      </w:hyperlink>
    </w:p>
    <w:bookmarkEnd w:id="139"/>
    <w:bookmarkStart w:id="141"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0">
        <w:r>
          <w:rPr>
            <w:rStyle w:val="Hyperlink"/>
          </w:rPr>
          <w:t xml:space="preserve">https://doi.org/10.1086/258726</w:t>
        </w:r>
      </w:hyperlink>
    </w:p>
    <w:bookmarkEnd w:id="141"/>
    <w:bookmarkStart w:id="142" w:name="ref-skocpol_1985"/>
    <w:p>
      <w:pPr>
        <w:pStyle w:val="Bibliography"/>
      </w:pPr>
      <w:r>
        <w:t xml:space="preserve">Skocpol, T., Evans, P., &amp; Rueschemeyer, D. (Eds.). (1985).</w:t>
      </w:r>
      <w:r>
        <w:t xml:space="preserve"> </w:t>
      </w:r>
      <w:r>
        <w:rPr>
          <w:iCs/>
          <w:i/>
        </w:rPr>
        <w:t xml:space="preserve">Bringing the</w:t>
      </w:r>
      <w:r>
        <w:rPr>
          <w:iCs/>
          <w:i/>
        </w:rPr>
        <w:t xml:space="preserve"> </w:t>
      </w:r>
      <w:r>
        <w:rPr>
          <w:iCs/>
          <w:i/>
        </w:rPr>
        <w:t xml:space="preserve">State Back In</w:t>
      </w:r>
      <w:r>
        <w:t xml:space="preserve">.</w:t>
      </w:r>
      <w:r>
        <w:t xml:space="preserve"> </w:t>
      </w:r>
      <w:r>
        <w:t xml:space="preserve">Cambridge University Press</w:t>
      </w:r>
      <w:r>
        <w:t xml:space="preserve">.</w:t>
      </w:r>
    </w:p>
    <w:bookmarkEnd w:id="142"/>
    <w:bookmarkStart w:id="143"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3"/>
    <w:bookmarkStart w:id="144"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4"/>
    <w:bookmarkStart w:id="145"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45"/>
    <w:bookmarkStart w:id="147"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46">
        <w:r>
          <w:rPr>
            <w:rStyle w:val="Hyperlink"/>
          </w:rPr>
          <w:t xml:space="preserve">https://doi.org/10.1080/1369183X.2019.1690980</w:t>
        </w:r>
      </w:hyperlink>
    </w:p>
    <w:bookmarkEnd w:id="147"/>
    <w:bookmarkStart w:id="149"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48">
        <w:r>
          <w:rPr>
            <w:rStyle w:val="Hyperlink"/>
          </w:rPr>
          <w:t xml:space="preserve">https://doi.org/10.1111/1468-2435.00066</w:t>
        </w:r>
      </w:hyperlink>
    </w:p>
    <w:bookmarkEnd w:id="149"/>
    <w:bookmarkStart w:id="150"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0"/>
    <w:bookmarkStart w:id="151"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1"/>
    <w:bookmarkStart w:id="152"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2"/>
    <w:bookmarkStart w:id="154"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3">
        <w:r>
          <w:rPr>
            <w:rStyle w:val="Hyperlink"/>
          </w:rPr>
          <w:t xml:space="preserve">https://doi.org/10.1093/sf/soy030</w:t>
        </w:r>
      </w:hyperlink>
    </w:p>
    <w:bookmarkEnd w:id="154"/>
    <w:bookmarkStart w:id="156"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55">
        <w:r>
          <w:rPr>
            <w:rStyle w:val="Hyperlink"/>
          </w:rPr>
          <w:t xml:space="preserve">https://doi.org/10.1111/lasr.12239</w:t>
        </w:r>
      </w:hyperlink>
    </w:p>
    <w:bookmarkEnd w:id="156"/>
    <w:bookmarkStart w:id="158"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57">
        <w:r>
          <w:rPr>
            <w:rStyle w:val="Hyperlink"/>
          </w:rPr>
          <w:t xml:space="preserve">https://doi.org/10.1177/13634607221103207</w:t>
        </w:r>
      </w:hyperlink>
    </w:p>
    <w:bookmarkEnd w:id="158"/>
    <w:bookmarkStart w:id="160"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59">
        <w:r>
          <w:rPr>
            <w:rStyle w:val="Hyperlink"/>
          </w:rPr>
          <w:t xml:space="preserve">https://doi.org/10.1111/j.1467-8330.2011.00876.x</w:t>
        </w:r>
      </w:hyperlink>
    </w:p>
    <w:bookmarkEnd w:id="160"/>
    <w:bookmarkStart w:id="161"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1"/>
    <w:bookmarkEnd w:id="162"/>
    <w:p>
      <w:r>
        <w:br w:type="page"/>
      </w:r>
    </w:p>
    <w:bookmarkEnd w:id="163"/>
    <w:bookmarkStart w:id="164" w:name="tables"/>
    <w:p>
      <w:pPr>
        <w:pStyle w:val="Heading1"/>
      </w:pPr>
      <w:r>
        <w:t xml:space="preserve">Tables</w:t>
      </w:r>
    </w:p>
    <w:p>
      <w:pPr>
        <w:pStyle w:val="TableCaption"/>
      </w:pPr>
      <w:r>
        <w:t xml:space="preserve">Table 1:</w:t>
      </w:r>
      <w:r>
        <w:t xml:space="preserve"> </w:t>
      </w:r>
      <w:bookmarkStart w:id="89863224-7c28-4a5a-b9a0-3edb00ba9e0c" w:name="tab:country-tab"/>
      <w:r>
        <w:t xml:space="preserve">Sending countries ranked by proportion immigrant couples with same-sex partners</w:t>
      </w:r>
      <w:bookmarkEnd w:id="89863224-7c28-4a5a-b9a0-3edb00ba9e0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Zealand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(1.22 %, 3.15 %)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France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2.09 %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(1.62 %, 2.55 %)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0b803654-167c-4f12-97c5-b55b65f105bc" w:name="tab:state-tab"/>
      <w:r>
        <w:t xml:space="preserve">States ranked by proportion immigrant couples with same-sex partners</w:t>
      </w:r>
      <w:bookmarkEnd w:id="0b803654-167c-4f12-97c5-b55b65f105b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1.00 %)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1.3</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Iowa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(0.31 %, 1.26 %)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5.0</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3b473aa5-3f28-4bde-b590-e3090beae760" w:name="tab:state-props"/>
      <w:r>
        <w:t xml:space="preserve">Percent same-sex in by country of origin, U.S. state, and survey year.</w:t>
      </w:r>
      <w:bookmarkEnd w:id="3b473aa5-3f28-4bde-b590-e3090beae76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0.139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0.209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0.120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0.207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0.117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(0.060)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0.055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(0.105)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(0.105)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4"/>
    <w:bookmarkStart w:id="186"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66" name="Picture"/>
            <a:graphic>
              <a:graphicData uri="http://schemas.openxmlformats.org/drawingml/2006/picture">
                <pic:pic>
                  <pic:nvPicPr>
                    <pic:cNvPr descr="ssimm_desc_files/figure-docx/total-pop-1.png" id="167" name="Picture"/>
                    <pic:cNvPicPr>
                      <a:picLocks noChangeArrowheads="1" noChangeAspect="1"/>
                    </pic:cNvPicPr>
                  </pic:nvPicPr>
                  <pic:blipFill>
                    <a:blip r:embed="rId16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69" name="Picture"/>
            <a:graphic>
              <a:graphicData uri="http://schemas.openxmlformats.org/drawingml/2006/picture">
                <pic:pic>
                  <pic:nvPicPr>
                    <pic:cNvPr descr="ssimm_desc_files/figure-docx/desc-country-1.png" id="170" name="Picture"/>
                    <pic:cNvPicPr>
                      <a:picLocks noChangeArrowheads="1" noChangeAspect="1"/>
                    </pic:cNvPicPr>
                  </pic:nvPicPr>
                  <pic:blipFill>
                    <a:blip r:embed="rId16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2" name="Picture"/>
            <a:graphic>
              <a:graphicData uri="http://schemas.openxmlformats.org/drawingml/2006/picture">
                <pic:pic>
                  <pic:nvPicPr>
                    <pic:cNvPr descr="ssimm_desc_files/figure-docx/desc-ind-1.png" id="173" name="Picture"/>
                    <pic:cNvPicPr>
                      <a:picLocks noChangeArrowheads="1" noChangeAspect="1"/>
                    </pic:cNvPicPr>
                  </pic:nvPicPr>
                  <pic:blipFill>
                    <a:blip r:embed="rId17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75" name="Picture"/>
            <a:graphic>
              <a:graphicData uri="http://schemas.openxmlformats.org/drawingml/2006/picture">
                <pic:pic>
                  <pic:nvPicPr>
                    <pic:cNvPr descr="ssimm_desc_files/figure-docx/policy-desc-1.png" id="176" name="Picture"/>
                    <pic:cNvPicPr>
                      <a:picLocks noChangeArrowheads="1" noChangeAspect="1"/>
                    </pic:cNvPicPr>
                  </pic:nvPicPr>
                  <pic:blipFill>
                    <a:blip r:embed="rId17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78" name="Picture"/>
            <a:graphic>
              <a:graphicData uri="http://schemas.openxmlformats.org/drawingml/2006/picture">
                <pic:pic>
                  <pic:nvPicPr>
                    <pic:cNvPr descr="ssimm_desc_files/figure-docx/country-map-1.png" id="179" name="Picture"/>
                    <pic:cNvPicPr>
                      <a:picLocks noChangeArrowheads="1" noChangeAspect="1"/>
                    </pic:cNvPicPr>
                  </pic:nvPicPr>
                  <pic:blipFill>
                    <a:blip r:embed="rId17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1" name="Picture"/>
            <a:graphic>
              <a:graphicData uri="http://schemas.openxmlformats.org/drawingml/2006/picture">
                <pic:pic>
                  <pic:nvPicPr>
                    <pic:cNvPr descr="ssimm_desc_files/figure-docx/state-map-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title="" id="184" name="Picture"/>
            <a:graphic>
              <a:graphicData uri="http://schemas.openxmlformats.org/drawingml/2006/picture">
                <pic:pic>
                  <pic:nvPicPr>
                    <pic:cNvPr descr="ssimm_desc_files/figure-docx/state-sim-1.png" id="185" name="Picture"/>
                    <pic:cNvPicPr>
                      <a:picLocks noChangeArrowheads="1" noChangeAspect="1"/>
                    </pic:cNvPicPr>
                  </pic:nvPicPr>
                  <pic:blipFill>
                    <a:blip r:embed="rId18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w:t>
      </w:r>
    </w:p>
    <w:bookmarkEnd w:id="186"/>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77" Target="media/rId177.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65" Target="media/rId165.png" /><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17" Target="https://doi.org/10.1007/s12122-020-09305-4" TargetMode="External" /><Relationship Type="http://schemas.openxmlformats.org/officeDocument/2006/relationships/hyperlink" Id="rId75" Target="https://doi.org/10.1016/j.geoforum.2015.11.007" TargetMode="External" /><Relationship Type="http://schemas.openxmlformats.org/officeDocument/2006/relationships/hyperlink" Id="rId84"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38" Target="https://doi.org/10.1080/09518398.2015.1017858" TargetMode="External" /><Relationship Type="http://schemas.openxmlformats.org/officeDocument/2006/relationships/hyperlink" Id="rId129"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3"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0"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5"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36" Target="https://doi.org/10.1080/19436149.2020.1704501" TargetMode="External" /><Relationship Type="http://schemas.openxmlformats.org/officeDocument/2006/relationships/hyperlink" Id="rId140" Target="https://doi.org/10.1086/258726" TargetMode="External" /><Relationship Type="http://schemas.openxmlformats.org/officeDocument/2006/relationships/hyperlink" Id="rId133" Target="https://doi.org/10.1093/migration/mnab007" TargetMode="External" /><Relationship Type="http://schemas.openxmlformats.org/officeDocument/2006/relationships/hyperlink" Id="rId153" Target="https://doi.org/10.1093/sf/soy030" TargetMode="External" /><Relationship Type="http://schemas.openxmlformats.org/officeDocument/2006/relationships/hyperlink" Id="rId148" Target="https://doi.org/10.1111/1468-2435.00066" TargetMode="External" /><Relationship Type="http://schemas.openxmlformats.org/officeDocument/2006/relationships/hyperlink" Id="rId159"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7" Target="https://doi.org/10.1111/kykl.12206" TargetMode="External" /><Relationship Type="http://schemas.openxmlformats.org/officeDocument/2006/relationships/hyperlink" Id="rId155" Target="https://doi.org/10.1111/lasr.12239" TargetMode="External" /><Relationship Type="http://schemas.openxmlformats.org/officeDocument/2006/relationships/hyperlink" Id="rId82" Target="https://doi.org/10.1146/annurev-soc-121919-054639" TargetMode="External" /><Relationship Type="http://schemas.openxmlformats.org/officeDocument/2006/relationships/hyperlink" Id="rId77" Target="https://doi.org/10.1177/0011392119850231" TargetMode="External" /><Relationship Type="http://schemas.openxmlformats.org/officeDocument/2006/relationships/hyperlink" Id="rId65"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6" Target="https://doi.org/10.1177/1065912915621175" TargetMode="External" /><Relationship Type="http://schemas.openxmlformats.org/officeDocument/2006/relationships/hyperlink" Id="rId109" Target="https://doi.org/10.1177/1363460714552251" TargetMode="External" /><Relationship Type="http://schemas.openxmlformats.org/officeDocument/2006/relationships/hyperlink" Id="rId157" Target="https://doi.org/10.1177/13634607221103207" TargetMode="External" /><Relationship Type="http://schemas.openxmlformats.org/officeDocument/2006/relationships/hyperlink" Id="rId71" Target="https://doi.org/10.1186/s40878-020-00210-4" TargetMode="External" /><Relationship Type="http://schemas.openxmlformats.org/officeDocument/2006/relationships/hyperlink" Id="rId111" Target="https://doi.org/10.1215/10642684-2007-029" TargetMode="External" /><Relationship Type="http://schemas.openxmlformats.org/officeDocument/2006/relationships/hyperlink" Id="rId80" Target="https://doi.org/10.1257/aer.20130954" TargetMode="External" /><Relationship Type="http://schemas.openxmlformats.org/officeDocument/2006/relationships/hyperlink" Id="rId122"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19" Target="https://doi.org/10.2307/3644186" TargetMode="External" /><Relationship Type="http://schemas.openxmlformats.org/officeDocument/2006/relationships/hyperlink" Id="rId131" Target="https://doi.org/10.31235/osf.io/mzuwe" TargetMode="External" /><Relationship Type="http://schemas.openxmlformats.org/officeDocument/2006/relationships/hyperlink" Id="rId105" Target="https://doi.org/10.4324/9780203849200" TargetMode="External" /><Relationship Type="http://schemas.openxmlformats.org/officeDocument/2006/relationships/hyperlink" Id="rId98"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17" Target="https://doi.org/10.1007/s12122-020-09305-4" TargetMode="External" /><Relationship Type="http://schemas.openxmlformats.org/officeDocument/2006/relationships/hyperlink" Id="rId75" Target="https://doi.org/10.1016/j.geoforum.2015.11.007" TargetMode="External" /><Relationship Type="http://schemas.openxmlformats.org/officeDocument/2006/relationships/hyperlink" Id="rId84"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38" Target="https://doi.org/10.1080/09518398.2015.1017858" TargetMode="External" /><Relationship Type="http://schemas.openxmlformats.org/officeDocument/2006/relationships/hyperlink" Id="rId129"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3"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0"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5"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36" Target="https://doi.org/10.1080/19436149.2020.1704501" TargetMode="External" /><Relationship Type="http://schemas.openxmlformats.org/officeDocument/2006/relationships/hyperlink" Id="rId140" Target="https://doi.org/10.1086/258726" TargetMode="External" /><Relationship Type="http://schemas.openxmlformats.org/officeDocument/2006/relationships/hyperlink" Id="rId133" Target="https://doi.org/10.1093/migration/mnab007" TargetMode="External" /><Relationship Type="http://schemas.openxmlformats.org/officeDocument/2006/relationships/hyperlink" Id="rId153" Target="https://doi.org/10.1093/sf/soy030" TargetMode="External" /><Relationship Type="http://schemas.openxmlformats.org/officeDocument/2006/relationships/hyperlink" Id="rId148" Target="https://doi.org/10.1111/1468-2435.00066" TargetMode="External" /><Relationship Type="http://schemas.openxmlformats.org/officeDocument/2006/relationships/hyperlink" Id="rId159"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7" Target="https://doi.org/10.1111/kykl.12206" TargetMode="External" /><Relationship Type="http://schemas.openxmlformats.org/officeDocument/2006/relationships/hyperlink" Id="rId155" Target="https://doi.org/10.1111/lasr.12239" TargetMode="External" /><Relationship Type="http://schemas.openxmlformats.org/officeDocument/2006/relationships/hyperlink" Id="rId82" Target="https://doi.org/10.1146/annurev-soc-121919-054639" TargetMode="External" /><Relationship Type="http://schemas.openxmlformats.org/officeDocument/2006/relationships/hyperlink" Id="rId77" Target="https://doi.org/10.1177/0011392119850231" TargetMode="External" /><Relationship Type="http://schemas.openxmlformats.org/officeDocument/2006/relationships/hyperlink" Id="rId65"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6" Target="https://doi.org/10.1177/1065912915621175" TargetMode="External" /><Relationship Type="http://schemas.openxmlformats.org/officeDocument/2006/relationships/hyperlink" Id="rId109" Target="https://doi.org/10.1177/1363460714552251" TargetMode="External" /><Relationship Type="http://schemas.openxmlformats.org/officeDocument/2006/relationships/hyperlink" Id="rId157" Target="https://doi.org/10.1177/13634607221103207" TargetMode="External" /><Relationship Type="http://schemas.openxmlformats.org/officeDocument/2006/relationships/hyperlink" Id="rId71" Target="https://doi.org/10.1186/s40878-020-00210-4" TargetMode="External" /><Relationship Type="http://schemas.openxmlformats.org/officeDocument/2006/relationships/hyperlink" Id="rId111" Target="https://doi.org/10.1215/10642684-2007-029" TargetMode="External" /><Relationship Type="http://schemas.openxmlformats.org/officeDocument/2006/relationships/hyperlink" Id="rId80" Target="https://doi.org/10.1257/aer.20130954" TargetMode="External" /><Relationship Type="http://schemas.openxmlformats.org/officeDocument/2006/relationships/hyperlink" Id="rId122"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19" Target="https://doi.org/10.2307/3644186" TargetMode="External" /><Relationship Type="http://schemas.openxmlformats.org/officeDocument/2006/relationships/hyperlink" Id="rId131" Target="https://doi.org/10.31235/osf.io/mzuwe" TargetMode="External" /><Relationship Type="http://schemas.openxmlformats.org/officeDocument/2006/relationships/hyperlink" Id="rId105" Target="https://doi.org/10.4324/9780203849200" TargetMode="External" /><Relationship Type="http://schemas.openxmlformats.org/officeDocument/2006/relationships/hyperlink" Id="rId98"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2022-10-11T17:58:31Z</dcterms:created>
  <dcterms:modified xsi:type="dcterms:W3CDTF">2022-10-11T17:58:31Z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Contrary to previous work focusing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vt:lpwstr>
  </property>
  <property fmtid="{D5CDD505-2E9C-101B-9397-08002B2CF9AE}" pid="3" name="bibliography">
    <vt:lpwstr>zotero2.bib</vt:lpwstr>
  </property>
  <property fmtid="{D5CDD505-2E9C-101B-9397-08002B2CF9AE}" pid="4" name="citeproc">
    <vt:lpwstr>False</vt:lpwstr>
  </property>
  <property fmtid="{D5CDD505-2E9C-101B-9397-08002B2CF9AE}" pid="5" name="csl">
    <vt:lpwstr>apa.csl</vt:lpwstr>
  </property>
  <property fmtid="{D5CDD505-2E9C-101B-9397-08002B2CF9AE}" pid="6" name="editor_options">
    <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indent">
    <vt:lpwstr>True</vt:lpwstr>
  </property>
  <property fmtid="{D5CDD505-2E9C-101B-9397-08002B2CF9AE}" pid="11" name="link-citations">
    <vt:lpwstr>False</vt:lpwstr>
  </property>
  <property fmtid="{D5CDD505-2E9C-101B-9397-08002B2CF9AE}" pid="12" name="linkcolor">
    <vt:lpwstr>black</vt:lpwstr>
  </property>
  <property fmtid="{D5CDD505-2E9C-101B-9397-08002B2CF9AE}" pid="13" name="mainfont">
    <vt:lpwstr>Times New Roman</vt:lpwstr>
  </property>
  <property fmtid="{D5CDD505-2E9C-101B-9397-08002B2CF9AE}" pid="14" name="output">
    <vt:lpwstr/>
  </property>
</Properties>
</file>